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rPr/>
      </w:pPr>
      <w:r w:rsidDel="00000000" w:rsidR="00000000" w:rsidRPr="00000000">
        <w:rPr>
          <w:rtl w:val="0"/>
        </w:rPr>
      </w:r>
    </w:p>
    <w:tbl>
      <w:tblPr>
        <w:tblStyle w:val="Table1"/>
        <w:tblW w:w="10755.0" w:type="dxa"/>
        <w:jc w:val="left"/>
        <w:tblLayout w:type="fixed"/>
        <w:tblLook w:val="0000"/>
      </w:tblPr>
      <w:tblGrid>
        <w:gridCol w:w="2625"/>
        <w:gridCol w:w="8130"/>
        <w:tblGridChange w:id="0">
          <w:tblGrid>
            <w:gridCol w:w="2625"/>
            <w:gridCol w:w="813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2">
            <w:pPr>
              <w:spacing w:after="280" w:before="280" w:line="240" w:lineRule="auto"/>
              <w:rPr/>
            </w:pPr>
            <w:r w:rsidDel="00000000" w:rsidR="00000000" w:rsidRPr="00000000">
              <w:rPr>
                <w:rtl w:val="0"/>
              </w:rPr>
              <w:t xml:space="preserve">Agenda Item Title: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3">
            <w:pPr>
              <w:spacing w:after="280" w:before="280" w:line="240" w:lineRule="auto"/>
              <w:rPr>
                <w:sz w:val="24"/>
                <w:szCs w:val="24"/>
              </w:rPr>
            </w:pPr>
            <w:r w:rsidDel="00000000" w:rsidR="00000000" w:rsidRPr="00000000">
              <w:rPr>
                <w:sz w:val="24"/>
                <w:szCs w:val="24"/>
                <w:rtl w:val="0"/>
              </w:rPr>
              <w:t xml:space="preserve">REMI FUNDS RECOVERY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4">
            <w:pPr>
              <w:spacing w:after="280" w:before="280" w:line="240" w:lineRule="auto"/>
              <w:rPr>
                <w:sz w:val="24"/>
                <w:szCs w:val="24"/>
              </w:rPr>
            </w:pPr>
            <w:r w:rsidDel="00000000" w:rsidR="00000000" w:rsidRPr="00000000">
              <w:rPr>
                <w:sz w:val="24"/>
                <w:szCs w:val="24"/>
                <w:rtl w:val="0"/>
              </w:rPr>
              <w:t xml:space="preserve">Paper Type: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5">
            <w:pPr>
              <w:spacing w:after="280" w:before="280" w:line="240" w:lineRule="auto"/>
              <w:rPr>
                <w:sz w:val="24"/>
                <w:szCs w:val="24"/>
              </w:rPr>
            </w:pPr>
            <w:r w:rsidDel="00000000" w:rsidR="00000000" w:rsidRPr="00000000">
              <w:rPr>
                <w:sz w:val="24"/>
                <w:szCs w:val="24"/>
                <w:rtl w:val="0"/>
              </w:rPr>
              <w:t xml:space="preserve">FOR NOTING</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6">
            <w:pPr>
              <w:spacing w:after="280" w:before="280" w:line="240" w:lineRule="auto"/>
              <w:rPr>
                <w:sz w:val="24"/>
                <w:szCs w:val="24"/>
              </w:rPr>
            </w:pPr>
            <w:r w:rsidDel="00000000" w:rsidR="00000000" w:rsidRPr="00000000">
              <w:rPr>
                <w:sz w:val="24"/>
                <w:szCs w:val="24"/>
                <w:rtl w:val="0"/>
              </w:rPr>
              <w:t xml:space="preserve">Sponsor:</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7">
            <w:pPr>
              <w:spacing w:after="280" w:before="280" w:line="240" w:lineRule="auto"/>
              <w:rPr>
                <w:sz w:val="24"/>
                <w:szCs w:val="24"/>
              </w:rPr>
            </w:pPr>
            <w:r w:rsidDel="00000000" w:rsidR="00000000" w:rsidRPr="00000000">
              <w:rPr>
                <w:sz w:val="24"/>
                <w:szCs w:val="24"/>
                <w:rtl w:val="0"/>
              </w:rPr>
              <w:t xml:space="preserve">CEO</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8">
            <w:pPr>
              <w:spacing w:after="280" w:before="280" w:line="240" w:lineRule="auto"/>
              <w:rPr>
                <w:sz w:val="24"/>
                <w:szCs w:val="24"/>
              </w:rPr>
            </w:pPr>
            <w:r w:rsidDel="00000000" w:rsidR="00000000" w:rsidRPr="00000000">
              <w:rPr>
                <w:sz w:val="24"/>
                <w:szCs w:val="24"/>
                <w:rtl w:val="0"/>
              </w:rPr>
              <w:t xml:space="preserve">Recommendation:</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9">
            <w:pPr>
              <w:spacing w:after="280" w:before="280" w:line="240" w:lineRule="auto"/>
              <w:rPr>
                <w:sz w:val="24"/>
                <w:szCs w:val="24"/>
              </w:rPr>
            </w:pPr>
            <w:r w:rsidDel="00000000" w:rsidR="00000000" w:rsidRPr="00000000">
              <w:rPr>
                <w:sz w:val="24"/>
                <w:szCs w:val="24"/>
                <w:rtl w:val="0"/>
              </w:rPr>
              <w:t xml:space="preserve">Guidance from Graham Dietz (Barriaster) has been commissioned and will be forthcoming, however the consensus (from legal advisors) at this stage is that the appropriate steps have been taken thus far and the matter is being dealt with adequately by Jirsch Sutherland (receivers)</w:t>
            </w:r>
            <w:r w:rsidDel="00000000" w:rsidR="00000000" w:rsidRPr="00000000">
              <w:rPr>
                <w:rtl w:val="0"/>
              </w:rPr>
            </w:r>
          </w:p>
        </w:tc>
      </w:tr>
    </w:tbl>
    <w:p w:rsidR="00000000" w:rsidDel="00000000" w:rsidP="00000000" w:rsidRDefault="00000000" w:rsidRPr="00000000" w14:paraId="0000000A">
      <w:pPr>
        <w:spacing w:line="240" w:lineRule="auto"/>
        <w:rPr>
          <w:sz w:val="24"/>
          <w:szCs w:val="24"/>
        </w:rPr>
      </w:pPr>
      <w:r w:rsidDel="00000000" w:rsidR="00000000" w:rsidRPr="00000000">
        <w:rPr>
          <w:rtl w:val="0"/>
        </w:rPr>
      </w:r>
    </w:p>
    <w:p w:rsidR="00000000" w:rsidDel="00000000" w:rsidP="00000000" w:rsidRDefault="00000000" w:rsidRPr="00000000" w14:paraId="0000000B">
      <w:pPr>
        <w:spacing w:line="240" w:lineRule="auto"/>
        <w:rPr>
          <w:b w:val="1"/>
          <w:sz w:val="24"/>
          <w:szCs w:val="24"/>
        </w:rPr>
      </w:pPr>
      <w:r w:rsidDel="00000000" w:rsidR="00000000" w:rsidRPr="00000000">
        <w:rPr>
          <w:b w:val="1"/>
          <w:sz w:val="24"/>
          <w:szCs w:val="24"/>
          <w:rtl w:val="0"/>
        </w:rPr>
        <w:t xml:space="preserve">Purpose</w:t>
      </w:r>
    </w:p>
    <w:p w:rsidR="00000000" w:rsidDel="00000000" w:rsidP="00000000" w:rsidRDefault="00000000" w:rsidRPr="00000000" w14:paraId="0000000C">
      <w:pPr>
        <w:spacing w:line="240" w:lineRule="auto"/>
        <w:rPr>
          <w:sz w:val="24"/>
          <w:szCs w:val="24"/>
        </w:rPr>
      </w:pPr>
      <w:r w:rsidDel="00000000" w:rsidR="00000000" w:rsidRPr="00000000">
        <w:rPr>
          <w:sz w:val="24"/>
          <w:szCs w:val="24"/>
          <w:rtl w:val="0"/>
        </w:rPr>
        <w:t xml:space="preserve">Formal advice is required to demonstrate MCF acted appropriately in the past and has a solid plan moving forward for the recovery of funds from REMI receivers. </w:t>
      </w:r>
    </w:p>
    <w:p w:rsidR="00000000" w:rsidDel="00000000" w:rsidP="00000000" w:rsidRDefault="00000000" w:rsidRPr="00000000" w14:paraId="0000000D">
      <w:pPr>
        <w:spacing w:line="240" w:lineRule="auto"/>
        <w:rPr>
          <w:sz w:val="24"/>
          <w:szCs w:val="24"/>
        </w:rPr>
      </w:pPr>
      <w:r w:rsidDel="00000000" w:rsidR="00000000" w:rsidRPr="00000000">
        <w:rPr>
          <w:rtl w:val="0"/>
        </w:rPr>
      </w:r>
    </w:p>
    <w:p w:rsidR="00000000" w:rsidDel="00000000" w:rsidP="00000000" w:rsidRDefault="00000000" w:rsidRPr="00000000" w14:paraId="0000000E">
      <w:pPr>
        <w:spacing w:line="240" w:lineRule="auto"/>
        <w:rPr>
          <w:b w:val="1"/>
          <w:sz w:val="24"/>
          <w:szCs w:val="24"/>
        </w:rPr>
      </w:pPr>
      <w:r w:rsidDel="00000000" w:rsidR="00000000" w:rsidRPr="00000000">
        <w:rPr>
          <w:b w:val="1"/>
          <w:sz w:val="24"/>
          <w:szCs w:val="24"/>
          <w:rtl w:val="0"/>
        </w:rPr>
        <w:t xml:space="preserve">Background</w:t>
      </w:r>
    </w:p>
    <w:p w:rsidR="00000000" w:rsidDel="00000000" w:rsidP="00000000" w:rsidRDefault="00000000" w:rsidRPr="00000000" w14:paraId="0000000F">
      <w:pPr>
        <w:spacing w:line="240" w:lineRule="auto"/>
        <w:rPr>
          <w:sz w:val="24"/>
          <w:szCs w:val="24"/>
        </w:rPr>
      </w:pPr>
      <w:r w:rsidDel="00000000" w:rsidR="00000000" w:rsidRPr="00000000">
        <w:rPr>
          <w:sz w:val="24"/>
          <w:szCs w:val="24"/>
          <w:rtl w:val="0"/>
        </w:rPr>
        <w:t xml:space="preserve">Advice regarding the strategy adopted thus far and what is appropriate moving forward regarding the recovery of funds from REMI had been sought last year from Graham Dietz (Barrister), delivery has been delayed multiple times however it has been relayed via Kristel Winkler that it would be received before the end of January.</w:t>
      </w:r>
    </w:p>
    <w:p w:rsidR="00000000" w:rsidDel="00000000" w:rsidP="00000000" w:rsidRDefault="00000000" w:rsidRPr="00000000" w14:paraId="00000010">
      <w:pPr>
        <w:spacing w:line="240" w:lineRule="auto"/>
        <w:rPr>
          <w:sz w:val="24"/>
          <w:szCs w:val="24"/>
        </w:rPr>
      </w:pPr>
      <w:r w:rsidDel="00000000" w:rsidR="00000000" w:rsidRPr="00000000">
        <w:rPr>
          <w:rtl w:val="0"/>
        </w:rPr>
      </w:r>
    </w:p>
    <w:p w:rsidR="00000000" w:rsidDel="00000000" w:rsidP="00000000" w:rsidRDefault="00000000" w:rsidRPr="00000000" w14:paraId="00000011">
      <w:pPr>
        <w:spacing w:line="240" w:lineRule="auto"/>
        <w:rPr>
          <w:sz w:val="24"/>
          <w:szCs w:val="24"/>
        </w:rPr>
      </w:pPr>
      <w:r w:rsidDel="00000000" w:rsidR="00000000" w:rsidRPr="00000000">
        <w:rPr>
          <w:sz w:val="24"/>
          <w:szCs w:val="24"/>
          <w:rtl w:val="0"/>
        </w:rPr>
        <w:t xml:space="preserve">It has also been noted that the amount owed to MCF has been stated as Unknown, we have advised Jirsch Sutherland of the accurate amount owed and they have indicated they would be updating the figures once verified internally.</w:t>
      </w:r>
    </w:p>
    <w:p w:rsidR="00000000" w:rsidDel="00000000" w:rsidP="00000000" w:rsidRDefault="00000000" w:rsidRPr="00000000" w14:paraId="00000012">
      <w:pPr>
        <w:spacing w:line="240" w:lineRule="auto"/>
        <w:rPr>
          <w:sz w:val="24"/>
          <w:szCs w:val="24"/>
        </w:rPr>
      </w:pPr>
      <w:r w:rsidDel="00000000" w:rsidR="00000000" w:rsidRPr="00000000">
        <w:rPr>
          <w:rtl w:val="0"/>
        </w:rPr>
      </w:r>
    </w:p>
    <w:p w:rsidR="00000000" w:rsidDel="00000000" w:rsidP="00000000" w:rsidRDefault="00000000" w:rsidRPr="00000000" w14:paraId="00000013">
      <w:pPr>
        <w:spacing w:line="240" w:lineRule="auto"/>
        <w:rPr>
          <w:sz w:val="24"/>
          <w:szCs w:val="24"/>
        </w:rPr>
      </w:pPr>
      <w:r w:rsidDel="00000000" w:rsidR="00000000" w:rsidRPr="00000000">
        <w:rPr>
          <w:sz w:val="24"/>
          <w:szCs w:val="24"/>
          <w:rtl w:val="0"/>
        </w:rPr>
        <w:t xml:space="preserve">Jirsch Sutherland have moved on to recovery from Directors and related parties.  Peter Tyrell has declared himself bankrupt which leaves a few other directors and recovery from related parties - which will likely take years according to the receivers. </w:t>
      </w:r>
    </w:p>
    <w:p w:rsidR="00000000" w:rsidDel="00000000" w:rsidP="00000000" w:rsidRDefault="00000000" w:rsidRPr="00000000" w14:paraId="00000014">
      <w:pPr>
        <w:spacing w:line="240" w:lineRule="auto"/>
        <w:rPr>
          <w:sz w:val="24"/>
          <w:szCs w:val="24"/>
        </w:rPr>
      </w:pPr>
      <w:r w:rsidDel="00000000" w:rsidR="00000000" w:rsidRPr="00000000">
        <w:rPr>
          <w:rtl w:val="0"/>
        </w:rPr>
      </w:r>
    </w:p>
    <w:p w:rsidR="00000000" w:rsidDel="00000000" w:rsidP="00000000" w:rsidRDefault="00000000" w:rsidRPr="00000000" w14:paraId="00000015">
      <w:pPr>
        <w:spacing w:line="240" w:lineRule="auto"/>
        <w:rPr>
          <w:b w:val="1"/>
          <w:sz w:val="22"/>
          <w:szCs w:val="22"/>
        </w:rPr>
      </w:pPr>
      <w:bookmarkStart w:colFirst="0" w:colLast="0" w:name="_heading=h.gjdgxs" w:id="0"/>
      <w:bookmarkEnd w:id="0"/>
      <w:r w:rsidDel="00000000" w:rsidR="00000000" w:rsidRPr="00000000">
        <w:rPr>
          <w:b w:val="1"/>
          <w:sz w:val="24"/>
          <w:szCs w:val="24"/>
          <w:rtl w:val="0"/>
        </w:rPr>
        <w:t xml:space="preserve">Discussion </w:t>
      </w:r>
      <w:r w:rsidDel="00000000" w:rsidR="00000000" w:rsidRPr="00000000">
        <w:rPr>
          <w:rtl w:val="0"/>
        </w:rPr>
      </w:r>
    </w:p>
    <w:p w:rsidR="00000000" w:rsidDel="00000000" w:rsidP="00000000" w:rsidRDefault="00000000" w:rsidRPr="00000000" w14:paraId="00000016">
      <w:pPr>
        <w:spacing w:line="240" w:lineRule="auto"/>
        <w:rPr>
          <w:sz w:val="24"/>
          <w:szCs w:val="24"/>
        </w:rPr>
      </w:pPr>
      <w:r w:rsidDel="00000000" w:rsidR="00000000" w:rsidRPr="00000000">
        <w:rPr>
          <w:sz w:val="24"/>
          <w:szCs w:val="24"/>
          <w:rtl w:val="0"/>
        </w:rPr>
        <w:t xml:space="preserve">Whilst this matter is important it is not time sensitive, Graham Dietz has agreed to provide advice for a substantially reduced rate and as such an alternate for Graham has not been sought. </w:t>
      </w:r>
    </w:p>
    <w:p w:rsidR="00000000" w:rsidDel="00000000" w:rsidP="00000000" w:rsidRDefault="00000000" w:rsidRPr="00000000" w14:paraId="00000017">
      <w:pPr>
        <w:spacing w:line="240" w:lineRule="auto"/>
        <w:rPr>
          <w:sz w:val="24"/>
          <w:szCs w:val="24"/>
        </w:rPr>
      </w:pPr>
      <w:r w:rsidDel="00000000" w:rsidR="00000000" w:rsidRPr="00000000">
        <w:rPr>
          <w:rtl w:val="0"/>
        </w:rPr>
      </w:r>
    </w:p>
    <w:p w:rsidR="00000000" w:rsidDel="00000000" w:rsidP="00000000" w:rsidRDefault="00000000" w:rsidRPr="00000000" w14:paraId="00000018">
      <w:pPr>
        <w:spacing w:line="240" w:lineRule="auto"/>
        <w:rPr>
          <w:sz w:val="24"/>
          <w:szCs w:val="24"/>
        </w:rPr>
      </w:pPr>
      <w:r w:rsidDel="00000000" w:rsidR="00000000" w:rsidRPr="00000000">
        <w:rPr>
          <w:rtl w:val="0"/>
        </w:rPr>
      </w:r>
    </w:p>
    <w:p w:rsidR="00000000" w:rsidDel="00000000" w:rsidP="00000000" w:rsidRDefault="00000000" w:rsidRPr="00000000" w14:paraId="00000019">
      <w:pPr>
        <w:spacing w:line="240" w:lineRule="auto"/>
        <w:rPr>
          <w:i w:val="0"/>
          <w:sz w:val="22"/>
          <w:szCs w:val="22"/>
        </w:rPr>
      </w:pPr>
      <w:r w:rsidDel="00000000" w:rsidR="00000000" w:rsidRPr="00000000">
        <w:rPr>
          <w:i w:val="1"/>
          <w:sz w:val="24"/>
          <w:szCs w:val="24"/>
          <w:rtl w:val="0"/>
        </w:rPr>
        <w:t xml:space="preserve">Paper is for noting only at this stage.</w:t>
      </w:r>
      <w:r w:rsidDel="00000000" w:rsidR="00000000" w:rsidRPr="00000000">
        <w:rPr>
          <w:rtl w:val="0"/>
        </w:rPr>
      </w:r>
    </w:p>
    <w:p w:rsidR="00000000" w:rsidDel="00000000" w:rsidP="00000000" w:rsidRDefault="00000000" w:rsidRPr="00000000" w14:paraId="0000001A">
      <w:pPr>
        <w:spacing w:line="240" w:lineRule="auto"/>
        <w:rPr>
          <w:sz w:val="24"/>
          <w:szCs w:val="24"/>
        </w:rPr>
      </w:pPr>
      <w:r w:rsidDel="00000000" w:rsidR="00000000" w:rsidRPr="00000000">
        <w:rPr>
          <w:rtl w:val="0"/>
        </w:rPr>
      </w:r>
    </w:p>
    <w:p w:rsidR="00000000" w:rsidDel="00000000" w:rsidP="00000000" w:rsidRDefault="00000000" w:rsidRPr="00000000" w14:paraId="0000001B">
      <w:pPr>
        <w:numPr>
          <w:ilvl w:val="0"/>
          <w:numId w:val="1"/>
        </w:numPr>
        <w:spacing w:line="240" w:lineRule="auto"/>
        <w:ind w:left="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rtl w:val="0"/>
        </w:rPr>
        <w:t xml:space="preserve">S</w:t>
      </w:r>
      <w:r w:rsidDel="00000000" w:rsidR="00000000" w:rsidRPr="00000000">
        <w:rPr>
          <w:sz w:val="24"/>
          <w:szCs w:val="24"/>
          <w:u w:val="single"/>
          <w:rtl w:val="0"/>
        </w:rPr>
        <w:t xml:space="preserve">trategy.</w:t>
      </w:r>
      <w:r w:rsidDel="00000000" w:rsidR="00000000" w:rsidRPr="00000000">
        <w:rPr>
          <w:sz w:val="24"/>
          <w:szCs w:val="24"/>
          <w:u w:val="none"/>
          <w:rtl w:val="0"/>
        </w:rPr>
        <w:t xml:space="preserve"> </w:t>
      </w:r>
      <w:r w:rsidDel="00000000" w:rsidR="00000000" w:rsidRPr="00000000">
        <w:rPr>
          <w:rtl w:val="0"/>
        </w:rPr>
      </w:r>
    </w:p>
    <w:p w:rsidR="00000000" w:rsidDel="00000000" w:rsidP="00000000" w:rsidRDefault="00000000" w:rsidRPr="00000000" w14:paraId="0000001C">
      <w:pPr>
        <w:numPr>
          <w:ilvl w:val="0"/>
          <w:numId w:val="1"/>
        </w:numPr>
        <w:spacing w:line="240" w:lineRule="auto"/>
        <w:ind w:left="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Resources.</w:t>
      </w:r>
      <w:r w:rsidDel="00000000" w:rsidR="00000000" w:rsidRPr="00000000">
        <w:rPr>
          <w:sz w:val="24"/>
          <w:szCs w:val="24"/>
          <w:u w:val="none"/>
          <w:rtl w:val="0"/>
        </w:rPr>
        <w:t xml:space="preserve"> </w:t>
      </w:r>
      <w:r w:rsidDel="00000000" w:rsidR="00000000" w:rsidRPr="00000000">
        <w:rPr>
          <w:rtl w:val="0"/>
        </w:rPr>
      </w:r>
    </w:p>
    <w:p w:rsidR="00000000" w:rsidDel="00000000" w:rsidP="00000000" w:rsidRDefault="00000000" w:rsidRPr="00000000" w14:paraId="0000001D">
      <w:pPr>
        <w:numPr>
          <w:ilvl w:val="0"/>
          <w:numId w:val="1"/>
        </w:numPr>
        <w:spacing w:line="240" w:lineRule="auto"/>
        <w:ind w:left="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Risk.</w:t>
      </w:r>
      <w:r w:rsidDel="00000000" w:rsidR="00000000" w:rsidRPr="00000000">
        <w:rPr>
          <w:sz w:val="24"/>
          <w:szCs w:val="24"/>
          <w:u w:val="none"/>
          <w:rtl w:val="0"/>
        </w:rPr>
        <w:t xml:space="preserve"> Purpose of the paper from Graham Dietz is</w:t>
      </w:r>
      <w:r w:rsidDel="00000000" w:rsidR="00000000" w:rsidRPr="00000000">
        <w:rPr>
          <w:sz w:val="24"/>
          <w:szCs w:val="24"/>
          <w:rtl w:val="0"/>
        </w:rPr>
        <w:t xml:space="preserve"> </w:t>
      </w:r>
      <w:r w:rsidDel="00000000" w:rsidR="00000000" w:rsidRPr="00000000">
        <w:rPr>
          <w:sz w:val="24"/>
          <w:szCs w:val="24"/>
          <w:u w:val="none"/>
          <w:rtl w:val="0"/>
        </w:rPr>
        <w:t xml:space="preserve">risk mitigation</w:t>
      </w:r>
      <w:r w:rsidDel="00000000" w:rsidR="00000000" w:rsidRPr="00000000">
        <w:rPr>
          <w:rtl w:val="0"/>
        </w:rPr>
      </w:r>
    </w:p>
    <w:p w:rsidR="00000000" w:rsidDel="00000000" w:rsidP="00000000" w:rsidRDefault="00000000" w:rsidRPr="00000000" w14:paraId="0000001E">
      <w:pPr>
        <w:numPr>
          <w:ilvl w:val="0"/>
          <w:numId w:val="1"/>
        </w:numPr>
        <w:spacing w:line="240" w:lineRule="auto"/>
        <w:ind w:left="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Governance.</w:t>
      </w: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1F">
      <w:pPr>
        <w:numPr>
          <w:ilvl w:val="0"/>
          <w:numId w:val="1"/>
        </w:numPr>
        <w:spacing w:line="240" w:lineRule="auto"/>
        <w:ind w:left="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rtl w:val="0"/>
        </w:rPr>
        <w:t xml:space="preserve">Responsibilities.</w:t>
      </w:r>
      <w:r w:rsidDel="00000000" w:rsidR="00000000" w:rsidRPr="00000000">
        <w:rPr>
          <w:sz w:val="24"/>
          <w:szCs w:val="24"/>
          <w:rtl w:val="0"/>
        </w:rPr>
        <w:t xml:space="preserve"> CEO to liaise with Barrister.</w:t>
      </w:r>
      <w:r w:rsidDel="00000000" w:rsidR="00000000" w:rsidRPr="00000000">
        <w:rPr>
          <w:rtl w:val="0"/>
        </w:rPr>
      </w:r>
    </w:p>
    <w:p w:rsidR="00000000" w:rsidDel="00000000" w:rsidP="00000000" w:rsidRDefault="00000000" w:rsidRPr="00000000" w14:paraId="00000020">
      <w:pPr>
        <w:numPr>
          <w:ilvl w:val="0"/>
          <w:numId w:val="1"/>
        </w:numPr>
        <w:spacing w:line="240" w:lineRule="auto"/>
        <w:ind w:left="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Options.</w:t>
      </w:r>
      <w:r w:rsidDel="00000000" w:rsidR="00000000" w:rsidRPr="00000000">
        <w:rPr>
          <w:sz w:val="22"/>
          <w:szCs w:val="22"/>
          <w:u w:val="none"/>
          <w:rtl w:val="0"/>
        </w:rPr>
        <w:t xml:space="preserve">.</w:t>
      </w:r>
      <w:r w:rsidDel="00000000" w:rsidR="00000000" w:rsidRPr="00000000">
        <w:rPr>
          <w:rtl w:val="0"/>
        </w:rPr>
      </w:r>
    </w:p>
    <w:p w:rsidR="00000000" w:rsidDel="00000000" w:rsidP="00000000" w:rsidRDefault="00000000" w:rsidRPr="00000000" w14:paraId="00000021">
      <w:pPr>
        <w:spacing w:line="240" w:lineRule="auto"/>
        <w:rPr>
          <w:sz w:val="24"/>
          <w:szCs w:val="24"/>
        </w:rPr>
      </w:pPr>
      <w:r w:rsidDel="00000000" w:rsidR="00000000" w:rsidRPr="00000000">
        <w:rPr>
          <w:rtl w:val="0"/>
        </w:rPr>
      </w:r>
    </w:p>
    <w:p w:rsidR="00000000" w:rsidDel="00000000" w:rsidP="00000000" w:rsidRDefault="00000000" w:rsidRPr="00000000" w14:paraId="00000022">
      <w:pPr>
        <w:spacing w:line="240" w:lineRule="auto"/>
        <w:rPr>
          <w:b w:val="1"/>
          <w:sz w:val="24"/>
          <w:szCs w:val="24"/>
        </w:rPr>
      </w:pPr>
      <w:r w:rsidDel="00000000" w:rsidR="00000000" w:rsidRPr="00000000">
        <w:rPr>
          <w:b w:val="1"/>
          <w:sz w:val="24"/>
          <w:szCs w:val="24"/>
          <w:rtl w:val="0"/>
        </w:rPr>
        <w:t xml:space="preserve">Consultation</w:t>
      </w:r>
    </w:p>
    <w:p w:rsidR="00000000" w:rsidDel="00000000" w:rsidP="00000000" w:rsidRDefault="00000000" w:rsidRPr="00000000" w14:paraId="00000023">
      <w:pPr>
        <w:spacing w:line="240" w:lineRule="auto"/>
        <w:rPr>
          <w:sz w:val="24"/>
          <w:szCs w:val="24"/>
        </w:rPr>
      </w:pPr>
      <w:r w:rsidDel="00000000" w:rsidR="00000000" w:rsidRPr="00000000">
        <w:rPr>
          <w:sz w:val="24"/>
          <w:szCs w:val="24"/>
          <w:rtl w:val="0"/>
        </w:rPr>
        <w:t xml:space="preserve">Kristel Winkler (Solicitor)</w:t>
      </w:r>
    </w:p>
    <w:p w:rsidR="00000000" w:rsidDel="00000000" w:rsidP="00000000" w:rsidRDefault="00000000" w:rsidRPr="00000000" w14:paraId="00000024">
      <w:pPr>
        <w:spacing w:line="240" w:lineRule="auto"/>
        <w:rPr>
          <w:sz w:val="24"/>
          <w:szCs w:val="24"/>
        </w:rPr>
      </w:pPr>
      <w:r w:rsidDel="00000000" w:rsidR="00000000" w:rsidRPr="00000000">
        <w:rPr>
          <w:sz w:val="24"/>
          <w:szCs w:val="24"/>
          <w:rtl w:val="0"/>
        </w:rPr>
        <w:t xml:space="preserve">Glen Walker (Solicitor)</w:t>
      </w:r>
      <w:r w:rsidDel="00000000" w:rsidR="00000000" w:rsidRPr="00000000">
        <w:rPr>
          <w:rtl w:val="0"/>
        </w:rPr>
      </w:r>
    </w:p>
    <w:p w:rsidR="00000000" w:rsidDel="00000000" w:rsidP="00000000" w:rsidRDefault="00000000" w:rsidRPr="00000000" w14:paraId="00000025">
      <w:pPr>
        <w:spacing w:line="240" w:lineRule="auto"/>
        <w:rPr>
          <w:sz w:val="24"/>
          <w:szCs w:val="24"/>
        </w:rPr>
      </w:pPr>
      <w:r w:rsidDel="00000000" w:rsidR="00000000" w:rsidRPr="00000000">
        <w:rPr>
          <w:rtl w:val="0"/>
        </w:rPr>
      </w:r>
    </w:p>
    <w:p w:rsidR="00000000" w:rsidDel="00000000" w:rsidP="00000000" w:rsidRDefault="00000000" w:rsidRPr="00000000" w14:paraId="00000026">
      <w:pPr>
        <w:spacing w:line="240" w:lineRule="auto"/>
        <w:rPr>
          <w:sz w:val="22"/>
          <w:szCs w:val="22"/>
        </w:rPr>
      </w:pPr>
      <w:r w:rsidDel="00000000" w:rsidR="00000000" w:rsidRPr="00000000">
        <w:rPr>
          <w:b w:val="1"/>
          <w:sz w:val="24"/>
          <w:szCs w:val="24"/>
          <w:rtl w:val="0"/>
        </w:rPr>
        <w:t xml:space="preserve">Prepared by / Date:</w:t>
      </w:r>
      <w:r w:rsidDel="00000000" w:rsidR="00000000" w:rsidRPr="00000000">
        <w:rPr>
          <w:sz w:val="24"/>
          <w:szCs w:val="24"/>
          <w:rtl w:val="0"/>
        </w:rPr>
        <w:t xml:space="preserve"> Jorian Cunliffe, </w:t>
      </w:r>
      <w:r w:rsidDel="00000000" w:rsidR="00000000" w:rsidRPr="00000000">
        <w:rPr>
          <w:rtl w:val="0"/>
        </w:rPr>
      </w:r>
    </w:p>
    <w:sectPr>
      <w:headerReference r:id="rId7" w:type="default"/>
      <w:headerReference r:id="rId8" w:type="first"/>
      <w:footerReference r:id="rId9" w:type="default"/>
      <w:pgSz w:h="16838" w:w="11906" w:orient="portrait"/>
      <w:pgMar w:bottom="1135" w:top="1135" w:left="1134" w:right="985" w:header="567" w:footer="229"/>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Helvetica Neue">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Noto Sans Symbols">
    <w:embedRegular w:fontKey="{00000000-0000-0000-0000-000000000000}" r:id="rId17" w:subsetted="0"/>
    <w:embedBold w:fontKey="{00000000-0000-0000-0000-000000000000}" r:id="rId18" w:subsetted="0"/>
  </w:font>
  <w:font w:name="Helvetica Neue Light">
    <w:embedRegular w:fontKey="{00000000-0000-0000-0000-000000000000}" r:id="rId19" w:subsetted="0"/>
    <w:embedBold w:fontKey="{00000000-0000-0000-0000-000000000000}" r:id="rId20" w:subsetted="0"/>
    <w:embedItalic w:fontKey="{00000000-0000-0000-0000-000000000000}" r:id="rId21" w:subsetted="0"/>
    <w:embedBoldItalic w:fontKey="{00000000-0000-0000-0000-000000000000}" r:id="rId2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32"/>
      </w:tabs>
      <w:spacing w:after="0" w:before="0" w:line="240" w:lineRule="auto"/>
      <w:ind w:left="0" w:right="-7"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Fonts w:ascii="Helvetica Neue Light" w:cs="Helvetica Neue Light" w:eastAsia="Helvetica Neue Light" w:hAnsi="Helvetica Neue Light"/>
        <w:b w:val="0"/>
        <w:i w:val="0"/>
        <w:smallCaps w:val="0"/>
        <w:strike w:val="0"/>
        <w:color w:val="005495"/>
        <w:sz w:val="18"/>
        <w:szCs w:val="18"/>
        <w:u w:val="none"/>
        <w:shd w:fill="auto" w:val="clear"/>
        <w:vertAlign w:val="baseline"/>
        <w:rtl w:val="0"/>
      </w:rPr>
      <w:tab/>
    </w:r>
    <w:r w:rsidDel="00000000" w:rsidR="00000000" w:rsidRPr="00000000">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Fonts w:ascii="Helvetica Neue Light" w:cs="Helvetica Neue Light" w:eastAsia="Helvetica Neue Light" w:hAnsi="Helvetica Neue Light"/>
        <w:b w:val="0"/>
        <w:i w:val="0"/>
        <w:smallCaps w:val="0"/>
        <w:strike w:val="0"/>
        <w:color w:val="000000"/>
        <w:sz w:val="32"/>
        <w:szCs w:val="32"/>
        <w:u w:val="none"/>
        <w:shd w:fill="auto" w:val="clear"/>
        <w:vertAlign w:val="baseline"/>
        <w:rtl w:val="0"/>
      </w:rPr>
      <w:t xml:space="preserve"> </w:t>
      <w:tab/>
      <w:t xml:space="preserve">                                  </w:t>
    </w:r>
    <w:r w:rsidDel="00000000" w:rsidR="00000000" w:rsidRPr="00000000">
      <w:rPr>
        <w:rFonts w:ascii="Calibri" w:cs="Calibri" w:eastAsia="Calibri" w:hAnsi="Calibri"/>
        <w:b w:val="1"/>
        <w:i w:val="0"/>
        <w:smallCaps w:val="0"/>
        <w:strike w:val="0"/>
        <w:color w:val="000000"/>
        <w:sz w:val="36"/>
        <w:szCs w:val="36"/>
        <w:u w:val="none"/>
        <w:shd w:fill="auto" w:val="clear"/>
        <w:vertAlign w:val="baseline"/>
        <w:rtl w:val="0"/>
      </w:rPr>
      <w:t xml:space="preserve">BOARD PAPER</w:t>
    </w: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 </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39370</wp:posOffset>
          </wp:positionH>
          <wp:positionV relativeFrom="paragraph">
            <wp:posOffset>-95249</wp:posOffset>
          </wp:positionV>
          <wp:extent cx="1773555" cy="521970"/>
          <wp:effectExtent b="0" l="0" r="0" t="0"/>
          <wp:wrapSquare wrapText="bothSides" distB="0" distT="0" distL="0" distR="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773555" cy="521970"/>
                  </a:xfrm>
                  <a:prstGeom prst="rect"/>
                  <a:ln/>
                </pic:spPr>
              </pic:pic>
            </a:graphicData>
          </a:graphic>
        </wp:anchor>
      </w:drawing>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Poppins Light" w:cs="Poppins Light" w:eastAsia="Poppins Light" w:hAnsi="Poppins Light"/>
        <w:b w:val="0"/>
        <w:i w:val="1"/>
        <w:smallCaps w:val="0"/>
        <w:strike w:val="0"/>
        <w:color w:val="000000"/>
        <w:sz w:val="20"/>
        <w:szCs w:val="20"/>
        <w:u w:val="none"/>
        <w:shd w:fill="auto" w:val="clear"/>
        <w:vertAlign w:val="baseline"/>
      </w:rPr>
    </w:pPr>
    <w:r w:rsidDel="00000000" w:rsidR="00000000" w:rsidRPr="00000000">
      <w:rPr>
        <w:rFonts w:ascii="Poppins Light" w:cs="Poppins Light" w:eastAsia="Poppins Light" w:hAnsi="Poppins Light"/>
        <w:b w:val="0"/>
        <w:i w:val="1"/>
        <w:smallCaps w:val="0"/>
        <w:strike w:val="0"/>
        <w:color w:val="000000"/>
        <w:sz w:val="20"/>
        <w:szCs w:val="20"/>
        <w:u w:val="none"/>
        <w:shd w:fill="auto" w:val="clear"/>
        <w:vertAlign w:val="baseline"/>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Noto Sans Symbols" w:cs="Noto Sans Symbols" w:eastAsia="Noto Sans Symbols" w:hAnsi="Noto Sans Symbols"/>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Noto Sans Symbols" w:cs="Noto Sans Symbols" w:eastAsia="Noto Sans Symbols" w:hAnsi="Noto Sans Symbols"/>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Noto Sans Symbols" w:cs="Noto Sans Symbols" w:eastAsia="Noto Sans Symbols" w:hAnsi="Noto Sans Symbols"/>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Montserrat" w:cs="Montserrat" w:eastAsia="Montserrat" w:hAnsi="Montserrat"/>
        <w:sz w:val="22"/>
        <w:szCs w:val="22"/>
        <w:lang w:val="en-AU"/>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5495"/>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92d2"/>
      <w:sz w:val="28"/>
      <w:szCs w:val="28"/>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5495"/>
      <w:sz w:val="24"/>
      <w:szCs w:val="24"/>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0000"/>
      <w:sz w:val="22"/>
      <w:szCs w:val="22"/>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0" w:right="0" w:firstLine="0"/>
      <w:jc w:val="both"/>
    </w:pPr>
    <w:rPr>
      <w:rFonts w:ascii="Calibri" w:cs="Calibri" w:eastAsia="Calibri" w:hAnsi="Calibri"/>
      <w:b w:val="0"/>
      <w:i w:val="0"/>
      <w:smallCaps w:val="0"/>
      <w:strike w:val="0"/>
      <w:color w:val="243f60"/>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40" w:lineRule="auto"/>
      <w:ind w:left="0" w:right="0" w:firstLine="0"/>
      <w:jc w:val="both"/>
    </w:pPr>
    <w:rPr>
      <w:rFonts w:ascii="Helvetica Neue Light" w:cs="Helvetica Neue Light" w:eastAsia="Helvetica Neue Light" w:hAnsi="Helvetica Neue Light"/>
      <w:b w:val="1"/>
      <w:i w:val="0"/>
      <w:smallCaps w:val="0"/>
      <w:strike w:val="0"/>
      <w:color w:val="000000"/>
      <w:sz w:val="20"/>
      <w:szCs w:val="20"/>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color="4f81bd" w:space="4" w:sz="8" w:val="single"/>
        <w:right w:space="0" w:sz="0" w:val="nil"/>
        <w:between w:space="0" w:sz="0" w:val="nil"/>
      </w:pBdr>
      <w:shd w:fill="auto" w:val="clear"/>
      <w:spacing w:after="300" w:before="0" w:line="240" w:lineRule="auto"/>
      <w:ind w:left="0" w:right="0" w:firstLine="0"/>
      <w:jc w:val="both"/>
    </w:pPr>
    <w:rPr>
      <w:rFonts w:ascii="Calibri" w:cs="Calibri" w:eastAsia="Calibri" w:hAnsi="Calibri"/>
      <w:b w:val="0"/>
      <w:i w:val="0"/>
      <w:smallCaps w:val="0"/>
      <w:strike w:val="0"/>
      <w:color w:val="17365d"/>
      <w:sz w:val="52"/>
      <w:szCs w:val="52"/>
      <w:u w:val="none"/>
      <w:shd w:fill="auto" w:val="clear"/>
      <w:vertAlign w:val="baseline"/>
    </w:rPr>
  </w:style>
  <w:style w:type="paragraph" w:styleId="Normal" w:default="1">
    <w:name w:val="Normal"/>
    <w:qFormat w:val="1"/>
    <w:pPr>
      <w:jc w:val="both"/>
    </w:pPr>
    <w:rPr>
      <w:rFonts w:cs="Times New Roman" w:eastAsia="MS Mincho"/>
      <w:color w:val="000000"/>
      <w:sz w:val="22"/>
      <w:lang w:bidi="ar-SA" w:eastAsia="ja-JP"/>
    </w:rPr>
  </w:style>
  <w:style w:type="paragraph" w:styleId="Heading1">
    <w:name w:val="heading 1"/>
    <w:basedOn w:val="LO-normal"/>
    <w:next w:val="LO-normal"/>
    <w:uiPriority w:val="9"/>
    <w:qFormat w:val="1"/>
    <w:pPr>
      <w:keepNext w:val="1"/>
      <w:keepLines w:val="1"/>
      <w:outlineLvl w:val="0"/>
    </w:pPr>
    <w:rPr>
      <w:rFonts w:ascii="Helvetica Neue Medium" w:eastAsia="MS Gothic" w:hAnsi="Helvetica Neue Medium"/>
      <w:color w:val="005495"/>
      <w:sz w:val="32"/>
      <w:szCs w:val="32"/>
      <w:lang w:eastAsia="x-none"/>
    </w:rPr>
  </w:style>
  <w:style w:type="paragraph" w:styleId="Heading2">
    <w:name w:val="heading 2"/>
    <w:basedOn w:val="LO-normal"/>
    <w:next w:val="LO-normal"/>
    <w:uiPriority w:val="9"/>
    <w:semiHidden w:val="1"/>
    <w:unhideWhenUsed w:val="1"/>
    <w:qFormat w:val="1"/>
    <w:pPr>
      <w:keepNext w:val="1"/>
      <w:keepLines w:val="1"/>
      <w:outlineLvl w:val="1"/>
    </w:pPr>
    <w:rPr>
      <w:rFonts w:ascii="Helvetica Neue Medium" w:cs="Tahoma" w:eastAsia="MS Gothic" w:hAnsi="Helvetica Neue Medium"/>
      <w:color w:val="0092d2"/>
      <w:sz w:val="28"/>
      <w:szCs w:val="28"/>
    </w:rPr>
  </w:style>
  <w:style w:type="paragraph" w:styleId="Heading3">
    <w:name w:val="heading 3"/>
    <w:basedOn w:val="LO-normal"/>
    <w:next w:val="LO-normal"/>
    <w:uiPriority w:val="9"/>
    <w:semiHidden w:val="1"/>
    <w:unhideWhenUsed w:val="1"/>
    <w:qFormat w:val="1"/>
    <w:pPr>
      <w:keepNext w:val="1"/>
      <w:keepLines w:val="1"/>
      <w:outlineLvl w:val="2"/>
    </w:pPr>
    <w:rPr>
      <w:rFonts w:ascii="Helvetica Neue Medium" w:cs="Tahoma" w:eastAsia="MS Gothic" w:hAnsi="Helvetica Neue Medium"/>
      <w:bCs w:val="1"/>
      <w:color w:val="005495"/>
      <w:sz w:val="24"/>
    </w:rPr>
  </w:style>
  <w:style w:type="paragraph" w:styleId="Heading4">
    <w:name w:val="heading 4"/>
    <w:basedOn w:val="LO-normal"/>
    <w:next w:val="LO-normal"/>
    <w:uiPriority w:val="9"/>
    <w:semiHidden w:val="1"/>
    <w:unhideWhenUsed w:val="1"/>
    <w:qFormat w:val="1"/>
    <w:pPr>
      <w:keepNext w:val="1"/>
      <w:keepLines w:val="1"/>
      <w:outlineLvl w:val="3"/>
    </w:pPr>
    <w:rPr>
      <w:rFonts w:ascii="Helvetica Neue Medium" w:cs="Tahoma" w:eastAsia="MS Gothic" w:hAnsi="Helvetica Neue Medium"/>
    </w:rPr>
  </w:style>
  <w:style w:type="paragraph" w:styleId="Heading5">
    <w:name w:val="heading 5"/>
    <w:basedOn w:val="LO-normal"/>
    <w:next w:val="LO-normal"/>
    <w:uiPriority w:val="9"/>
    <w:semiHidden w:val="1"/>
    <w:unhideWhenUsed w:val="1"/>
    <w:qFormat w:val="1"/>
    <w:pPr>
      <w:keepNext w:val="1"/>
      <w:keepLines w:val="1"/>
      <w:spacing w:before="200"/>
      <w:outlineLvl w:val="4"/>
    </w:pPr>
    <w:rPr>
      <w:rFonts w:ascii="Calibri" w:cs="Tahoma" w:eastAsia="MS Gothic" w:hAnsi="Calibri"/>
      <w:color w:val="243f60"/>
    </w:rPr>
  </w:style>
  <w:style w:type="paragraph" w:styleId="Heading6">
    <w:name w:val="heading 6"/>
    <w:basedOn w:val="LO-normal"/>
    <w:next w:val="LO-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qFormat w:val="1"/>
    <w:rPr>
      <w:rFonts w:ascii="Helvetica Neue Medium" w:cs="Times New Roman" w:eastAsia="MS Gothic" w:hAnsi="Helvetica Neue Medium"/>
      <w:color w:val="005495"/>
      <w:sz w:val="32"/>
      <w:szCs w:val="32"/>
      <w:lang w:eastAsia="x-none" w:val="en-AU"/>
    </w:rPr>
  </w:style>
  <w:style w:type="character" w:styleId="Heading2Char" w:customStyle="1">
    <w:name w:val="Heading 2 Char"/>
    <w:basedOn w:val="DefaultParagraphFont"/>
    <w:qFormat w:val="1"/>
    <w:rPr>
      <w:rFonts w:ascii="Helvetica Neue Medium" w:cs="Tahoma" w:eastAsia="MS Gothic" w:hAnsi="Helvetica Neue Medium"/>
      <w:color w:val="0092d2"/>
      <w:sz w:val="28"/>
      <w:szCs w:val="28"/>
      <w:lang w:eastAsia="ja-JP" w:val="en-AU"/>
    </w:rPr>
  </w:style>
  <w:style w:type="character" w:styleId="Heading3Char" w:customStyle="1">
    <w:name w:val="Heading 3 Char"/>
    <w:basedOn w:val="DefaultParagraphFont"/>
    <w:qFormat w:val="1"/>
    <w:rPr>
      <w:rFonts w:ascii="Helvetica Neue Medium" w:cs="Tahoma" w:eastAsia="MS Gothic" w:hAnsi="Helvetica Neue Medium"/>
      <w:bCs w:val="1"/>
      <w:color w:val="005495"/>
      <w:szCs w:val="22"/>
      <w:lang w:eastAsia="ja-JP" w:val="en-AU"/>
    </w:rPr>
  </w:style>
  <w:style w:type="character" w:styleId="Heading4Char" w:customStyle="1">
    <w:name w:val="Heading 4 Char"/>
    <w:basedOn w:val="DefaultParagraphFont"/>
    <w:qFormat w:val="1"/>
    <w:rPr>
      <w:rFonts w:ascii="Helvetica Neue Medium" w:cs="Tahoma" w:eastAsia="MS Gothic" w:hAnsi="Helvetica Neue Medium"/>
      <w:sz w:val="22"/>
      <w:szCs w:val="22"/>
      <w:lang w:eastAsia="ja-JP" w:val="en-AU"/>
    </w:rPr>
  </w:style>
  <w:style w:type="character" w:styleId="Heading5Char" w:customStyle="1">
    <w:name w:val="Heading 5 Char"/>
    <w:basedOn w:val="DefaultParagraphFont"/>
    <w:qFormat w:val="1"/>
    <w:rPr>
      <w:rFonts w:ascii="Calibri" w:cs="Tahoma" w:eastAsia="MS Gothic" w:hAnsi="Calibri"/>
      <w:color w:val="243f60"/>
      <w:sz w:val="22"/>
      <w:szCs w:val="22"/>
      <w:lang w:eastAsia="ja-JP" w:val="en-AU"/>
    </w:rPr>
  </w:style>
  <w:style w:type="character" w:styleId="TitleChar" w:customStyle="1">
    <w:name w:val="Title Char"/>
    <w:basedOn w:val="DefaultParagraphFont"/>
    <w:qFormat w:val="1"/>
    <w:rPr>
      <w:rFonts w:ascii="Calibri" w:cs="Tahoma" w:eastAsia="MS Gothic" w:hAnsi="Calibri"/>
      <w:color w:val="17365d"/>
      <w:spacing w:val="5"/>
      <w:kern w:val="2"/>
      <w:sz w:val="52"/>
      <w:szCs w:val="52"/>
      <w:lang w:eastAsia="ja-JP" w:val="en-AU"/>
    </w:rPr>
  </w:style>
  <w:style w:type="character" w:styleId="SubtitleChar" w:customStyle="1">
    <w:name w:val="Subtitle Char"/>
    <w:basedOn w:val="DefaultParagraphFont"/>
    <w:qFormat w:val="1"/>
    <w:rPr>
      <w:rFonts w:ascii="Calibri" w:cs="Tahoma" w:eastAsia="MS Gothic" w:hAnsi="Calibri"/>
      <w:i w:val="1"/>
      <w:iCs w:val="1"/>
      <w:color w:val="4f81bd"/>
      <w:spacing w:val="15"/>
      <w:lang w:eastAsia="ja-JP" w:val="en-AU"/>
    </w:rPr>
  </w:style>
  <w:style w:type="character" w:styleId="SubtleEmphasis">
    <w:name w:val="Subtle Emphasis"/>
    <w:basedOn w:val="DefaultParagraphFont"/>
    <w:qFormat w:val="1"/>
    <w:rPr>
      <w:i w:val="1"/>
      <w:iCs w:val="1"/>
      <w:color w:val="808080"/>
    </w:rPr>
  </w:style>
  <w:style w:type="character" w:styleId="Emphasis">
    <w:name w:val="Emphasis"/>
    <w:basedOn w:val="DefaultParagraphFont"/>
    <w:qFormat w:val="1"/>
    <w:rPr>
      <w:i w:val="1"/>
      <w:iCs w:val="1"/>
    </w:rPr>
  </w:style>
  <w:style w:type="character" w:styleId="Strong">
    <w:name w:val="Strong"/>
    <w:basedOn w:val="DefaultParagraphFont"/>
    <w:qFormat w:val="1"/>
    <w:rPr>
      <w:b w:val="1"/>
      <w:bCs w:val="1"/>
    </w:rPr>
  </w:style>
  <w:style w:type="character" w:styleId="QuoteChar" w:customStyle="1">
    <w:name w:val="Quote Char"/>
    <w:basedOn w:val="DefaultParagraphFont"/>
    <w:qFormat w:val="1"/>
    <w:rPr>
      <w:rFonts w:ascii="Helvetica Neue Light" w:cs="Times New Roman" w:hAnsi="Helvetica Neue Light"/>
      <w:i w:val="1"/>
      <w:iCs w:val="1"/>
      <w:color w:val="000000"/>
      <w:sz w:val="22"/>
      <w:szCs w:val="22"/>
      <w:lang w:eastAsia="ja-JP" w:val="en-AU"/>
    </w:rPr>
  </w:style>
  <w:style w:type="character" w:styleId="IntenseQuoteChar" w:customStyle="1">
    <w:name w:val="Intense Quote Char"/>
    <w:basedOn w:val="DefaultParagraphFont"/>
    <w:qFormat w:val="1"/>
    <w:rPr>
      <w:rFonts w:ascii="Helvetica Neue Light" w:cs="Times New Roman" w:hAnsi="Helvetica Neue Light"/>
      <w:b w:val="1"/>
      <w:bCs w:val="1"/>
      <w:i w:val="1"/>
      <w:iCs w:val="1"/>
      <w:color w:val="4f81bd"/>
      <w:sz w:val="22"/>
      <w:szCs w:val="22"/>
      <w:lang w:eastAsia="ja-JP" w:val="en-AU"/>
    </w:rPr>
  </w:style>
  <w:style w:type="character" w:styleId="IntenseEmphasis">
    <w:name w:val="Intense Emphasis"/>
    <w:basedOn w:val="DefaultParagraphFont"/>
    <w:qFormat w:val="1"/>
    <w:rPr>
      <w:b w:val="1"/>
      <w:bCs w:val="1"/>
      <w:i w:val="1"/>
      <w:iCs w:val="1"/>
      <w:color w:val="4f81bd"/>
    </w:rPr>
  </w:style>
  <w:style w:type="character" w:styleId="SubtleReference">
    <w:name w:val="Subtle Reference"/>
    <w:basedOn w:val="DefaultParagraphFont"/>
    <w:qFormat w:val="1"/>
    <w:rPr>
      <w:smallCaps w:val="1"/>
      <w:color w:val="c0504d"/>
      <w:u w:val="single"/>
    </w:rPr>
  </w:style>
  <w:style w:type="character" w:styleId="IntenseReference">
    <w:name w:val="Intense Reference"/>
    <w:basedOn w:val="DefaultParagraphFont"/>
    <w:qFormat w:val="1"/>
    <w:rPr>
      <w:b w:val="1"/>
      <w:bCs w:val="1"/>
      <w:smallCaps w:val="1"/>
      <w:color w:val="c0504d"/>
      <w:spacing w:val="5"/>
      <w:u w:val="single"/>
    </w:rPr>
  </w:style>
  <w:style w:type="character" w:styleId="BookTitle">
    <w:name w:val="Book Title"/>
    <w:basedOn w:val="DefaultParagraphFont"/>
    <w:qFormat w:val="1"/>
    <w:rPr>
      <w:b w:val="1"/>
      <w:bCs w:val="1"/>
      <w:smallCaps w:val="1"/>
      <w:spacing w:val="5"/>
    </w:rPr>
  </w:style>
  <w:style w:type="character" w:styleId="HeaderChar" w:customStyle="1">
    <w:name w:val="Header Char"/>
    <w:basedOn w:val="DefaultParagraphFont"/>
    <w:qFormat w:val="1"/>
    <w:rPr>
      <w:rFonts w:ascii="Helvetica Neue Light" w:cs="Times New Roman" w:hAnsi="Helvetica Neue Light"/>
      <w:color w:val="000000"/>
      <w:sz w:val="22"/>
      <w:szCs w:val="22"/>
      <w:lang w:eastAsia="ja-JP" w:val="en-AU"/>
    </w:rPr>
  </w:style>
  <w:style w:type="character" w:styleId="FooterChar" w:customStyle="1">
    <w:name w:val="Footer Char"/>
    <w:basedOn w:val="DefaultParagraphFont"/>
    <w:qFormat w:val="1"/>
    <w:rPr>
      <w:rFonts w:ascii="Helvetica Neue Light" w:cs="Times New Roman" w:hAnsi="Helvetica Neue Light"/>
      <w:color w:val="000000"/>
      <w:sz w:val="22"/>
      <w:szCs w:val="22"/>
      <w:lang w:eastAsia="ja-JP" w:val="en-AU"/>
    </w:rPr>
  </w:style>
  <w:style w:type="character" w:styleId="BalloonTextChar" w:customStyle="1">
    <w:name w:val="Balloon Text Char"/>
    <w:basedOn w:val="DefaultParagraphFont"/>
    <w:qFormat w:val="1"/>
    <w:rPr>
      <w:rFonts w:ascii="Lucida Grande" w:cs="Lucida Grande" w:hAnsi="Lucida Grande"/>
      <w:color w:val="000000"/>
      <w:sz w:val="18"/>
      <w:szCs w:val="18"/>
      <w:lang w:eastAsia="ja-JP" w:val="en-AU"/>
    </w:rPr>
  </w:style>
  <w:style w:type="character" w:styleId="PageNumber">
    <w:name w:val="page number"/>
    <w:qFormat w:val="1"/>
  </w:style>
  <w:style w:type="character" w:styleId="Hyperlink">
    <w:name w:val="Hyperlink"/>
    <w:basedOn w:val="DefaultParagraphFont"/>
    <w:rPr>
      <w:color w:val="0000ff"/>
      <w:u w:val="single"/>
    </w:rPr>
  </w:style>
  <w:style w:type="character" w:styleId="UnresolvedMention">
    <w:name w:val="Unresolved Mention"/>
    <w:basedOn w:val="DefaultParagraphFont"/>
    <w:qFormat w:val="1"/>
    <w:rPr>
      <w:color w:val="605e5c"/>
      <w:highlight w:val="lightGray"/>
    </w:rPr>
  </w:style>
  <w:style w:type="character" w:styleId="FootnoteTextChar" w:customStyle="1">
    <w:name w:val="Footnote Text Char"/>
    <w:basedOn w:val="DefaultParagraphFont"/>
    <w:qFormat w:val="1"/>
    <w:rPr>
      <w:rFonts w:ascii="Helvetica Neue Light" w:cs="Times New Roman" w:hAnsi="Helvetica Neue Light"/>
      <w:color w:val="000000"/>
      <w:sz w:val="20"/>
      <w:szCs w:val="20"/>
      <w:lang w:eastAsia="ja-JP" w:val="en-AU"/>
    </w:rPr>
  </w:style>
  <w:style w:type="character" w:styleId="FootnoteCharacters" w:customStyle="1">
    <w:name w:val="Footnote Characters"/>
    <w:basedOn w:val="DefaultParagraphFont"/>
    <w:qFormat w:val="1"/>
    <w:rPr>
      <w:vertAlign w:val="superscript"/>
    </w:rPr>
  </w:style>
  <w:style w:type="character" w:styleId="FootnoteAnchor" w:customStyle="1">
    <w:name w:val="Footnote Anchor"/>
    <w:rPr>
      <w:vertAlign w:val="superscript"/>
    </w:rPr>
  </w:style>
  <w:style w:type="character" w:styleId="Bullets" w:customStyle="1">
    <w:name w:val="Bullets"/>
    <w:qFormat w:val="1"/>
    <w:rPr>
      <w:rFonts w:ascii="OpenSymbol" w:cs="OpenSymbol" w:eastAsia="OpenSymbol" w:hAnsi="OpenSymbol"/>
    </w:rPr>
  </w:style>
  <w:style w:type="paragraph" w:styleId="Heading" w:customStyle="1">
    <w:name w:val="Heading"/>
    <w:basedOn w:val="LO-normal"/>
    <w:next w:val="BodyText"/>
    <w:qFormat w:val="1"/>
    <w:pPr>
      <w:keepNext w:val="1"/>
      <w:spacing w:after="120" w:before="240"/>
    </w:pPr>
    <w:rPr>
      <w:rFonts w:ascii="Liberation Sans" w:cs="Arial" w:eastAsia="Microsoft YaHei" w:hAnsi="Liberation Sans"/>
      <w:sz w:val="28"/>
      <w:szCs w:val="28"/>
    </w:rPr>
  </w:style>
  <w:style w:type="paragraph" w:styleId="BodyText">
    <w:name w:val="Body Text"/>
    <w:basedOn w:val="LO-normal"/>
    <w:pPr>
      <w:spacing w:after="140" w:line="276" w:lineRule="auto"/>
    </w:pPr>
  </w:style>
  <w:style w:type="paragraph" w:styleId="List">
    <w:name w:val="List"/>
    <w:basedOn w:val="BodyText"/>
    <w:rPr>
      <w:rFonts w:cs="Arial"/>
    </w:rPr>
  </w:style>
  <w:style w:type="paragraph" w:styleId="Caption">
    <w:name w:val="caption"/>
    <w:basedOn w:val="LO-normal"/>
    <w:qFormat w:val="1"/>
    <w:pPr>
      <w:suppressLineNumbers w:val="1"/>
      <w:spacing w:after="120" w:before="120"/>
    </w:pPr>
    <w:rPr>
      <w:rFonts w:cs="Arial"/>
      <w:i w:val="1"/>
      <w:iCs w:val="1"/>
      <w:sz w:val="24"/>
      <w:szCs w:val="24"/>
    </w:rPr>
  </w:style>
  <w:style w:type="paragraph" w:styleId="Index" w:customStyle="1">
    <w:name w:val="Index"/>
    <w:basedOn w:val="LO-normal"/>
    <w:qFormat w:val="1"/>
    <w:pPr>
      <w:suppressLineNumbers w:val="1"/>
    </w:pPr>
    <w:rPr>
      <w:rFonts w:cs="Arial"/>
    </w:rPr>
  </w:style>
  <w:style w:type="paragraph" w:styleId="LO-normal" w:customStyle="1">
    <w:name w:val="LO-normal"/>
    <w:qFormat w:val="1"/>
    <w:pPr>
      <w:jc w:val="both"/>
    </w:pPr>
    <w:rPr>
      <w:sz w:val="22"/>
    </w:rPr>
  </w:style>
  <w:style w:type="paragraph" w:styleId="Title">
    <w:name w:val="Title"/>
    <w:basedOn w:val="LO-normal"/>
    <w:next w:val="LO-normal"/>
    <w:uiPriority w:val="10"/>
    <w:qFormat w:val="1"/>
    <w:pPr>
      <w:pBdr>
        <w:bottom w:color="4f81bd" w:space="4" w:sz="8" w:val="single"/>
      </w:pBdr>
      <w:spacing w:after="300"/>
      <w:contextualSpacing w:val="1"/>
    </w:pPr>
    <w:rPr>
      <w:rFonts w:ascii="Calibri" w:cs="Tahoma" w:eastAsia="MS Gothic" w:hAnsi="Calibri"/>
      <w:color w:val="17365d"/>
      <w:spacing w:val="5"/>
      <w:kern w:val="2"/>
      <w:sz w:val="52"/>
      <w:szCs w:val="52"/>
    </w:rPr>
  </w:style>
  <w:style w:type="paragraph" w:styleId="NoSpacing">
    <w:name w:val="No Spacing"/>
    <w:qFormat w:val="1"/>
    <w:pPr>
      <w:jc w:val="both"/>
    </w:pPr>
    <w:rPr>
      <w:rFonts w:ascii="Futura Std Light" w:cs="Times New Roman" w:eastAsia="MS Mincho" w:hAnsi="Futura Std Light"/>
      <w:color w:val="000000"/>
      <w:sz w:val="22"/>
      <w:lang w:bidi="ar-SA" w:eastAsia="ja-JP"/>
    </w:rPr>
  </w:style>
  <w:style w:type="paragraph" w:styleId="Subtitle">
    <w:name w:val="Subtitle"/>
    <w:basedOn w:val="LO-normal"/>
    <w:next w:val="LO-normal"/>
    <w:uiPriority w:val="11"/>
    <w:qFormat w:val="1"/>
    <w:rPr>
      <w:rFonts w:ascii="Calibri" w:cs="Calibri" w:eastAsia="Calibri" w:hAnsi="Calibri"/>
      <w:i w:val="1"/>
      <w:color w:val="4f81bd"/>
      <w:sz w:val="24"/>
      <w:szCs w:val="24"/>
    </w:rPr>
  </w:style>
  <w:style w:type="paragraph" w:styleId="Quote">
    <w:name w:val="Quote"/>
    <w:basedOn w:val="LO-normal"/>
    <w:next w:val="LO-normal"/>
    <w:qFormat w:val="1"/>
    <w:rPr>
      <w:i w:val="1"/>
      <w:iCs w:val="1"/>
      <w:color w:val="000000"/>
    </w:rPr>
  </w:style>
  <w:style w:type="paragraph" w:styleId="IntenseQuote">
    <w:name w:val="Intense Quote"/>
    <w:basedOn w:val="LO-normal"/>
    <w:next w:val="LO-normal"/>
    <w:qFormat w:val="1"/>
    <w:pPr>
      <w:pBdr>
        <w:bottom w:color="4f81bd" w:space="4" w:sz="4" w:val="single"/>
      </w:pBdr>
      <w:spacing w:after="280" w:before="200"/>
      <w:ind w:left="936" w:right="936"/>
    </w:pPr>
    <w:rPr>
      <w:b w:val="1"/>
      <w:bCs w:val="1"/>
      <w:i w:val="1"/>
      <w:iCs w:val="1"/>
      <w:color w:val="4f81bd"/>
    </w:rPr>
  </w:style>
  <w:style w:type="paragraph" w:styleId="ListParagraph">
    <w:name w:val="List Paragraph"/>
    <w:basedOn w:val="LO-normal"/>
    <w:qFormat w:val="1"/>
    <w:pPr>
      <w:ind w:left="720"/>
      <w:contextualSpacing w:val="1"/>
    </w:pPr>
  </w:style>
  <w:style w:type="paragraph" w:styleId="HeaderandFooter" w:customStyle="1">
    <w:name w:val="Header and Footer"/>
    <w:basedOn w:val="Normal"/>
    <w:qFormat w:val="1"/>
  </w:style>
  <w:style w:type="paragraph" w:styleId="Header">
    <w:name w:val="header"/>
    <w:basedOn w:val="LO-normal"/>
    <w:pPr>
      <w:tabs>
        <w:tab w:val="center" w:pos="4320"/>
        <w:tab w:val="right" w:pos="8640"/>
      </w:tabs>
    </w:pPr>
  </w:style>
  <w:style w:type="paragraph" w:styleId="Footer">
    <w:name w:val="footer"/>
    <w:basedOn w:val="LO-normal"/>
    <w:pPr>
      <w:tabs>
        <w:tab w:val="center" w:pos="4320"/>
        <w:tab w:val="right" w:pos="8640"/>
      </w:tabs>
    </w:pPr>
  </w:style>
  <w:style w:type="paragraph" w:styleId="BalloonText">
    <w:name w:val="Balloon Text"/>
    <w:basedOn w:val="LO-normal"/>
    <w:qFormat w:val="1"/>
    <w:rPr>
      <w:rFonts w:ascii="Lucida Grande" w:cs="Lucida Grande" w:hAnsi="Lucida Grande"/>
      <w:sz w:val="18"/>
      <w:szCs w:val="18"/>
    </w:rPr>
  </w:style>
  <w:style w:type="paragraph" w:styleId="ListBullet">
    <w:name w:val="List Bullet"/>
    <w:basedOn w:val="LO-normal"/>
    <w:qFormat w:val="1"/>
    <w:pPr>
      <w:tabs>
        <w:tab w:val="left" w:pos="284"/>
      </w:tabs>
      <w:ind w:left="284" w:hanging="284"/>
      <w:contextualSpacing w:val="1"/>
    </w:pPr>
  </w:style>
  <w:style w:type="paragraph" w:styleId="NormalWeb">
    <w:name w:val="Normal (Web)"/>
    <w:basedOn w:val="LO-normal"/>
    <w:qFormat w:val="1"/>
    <w:pPr>
      <w:spacing w:after="280" w:before="280"/>
      <w:jc w:val="left"/>
    </w:pPr>
    <w:rPr>
      <w:rFonts w:ascii="Times New Roman" w:eastAsia="Times New Roman" w:hAnsi="Times New Roman"/>
      <w:sz w:val="24"/>
      <w:szCs w:val="24"/>
      <w:lang w:eastAsia="en-AU"/>
    </w:rPr>
  </w:style>
  <w:style w:type="paragraph" w:styleId="FootnoteText">
    <w:name w:val="footnote text"/>
    <w:basedOn w:val="LO-normal"/>
    <w:rPr>
      <w:sz w:val="20"/>
      <w:szCs w:val="20"/>
    </w:rPr>
  </w:style>
  <w:style w:type="paragraph" w:styleId="TableContents" w:customStyle="1">
    <w:name w:val="Table Contents"/>
    <w:basedOn w:val="LO-normal"/>
    <w:qFormat w:val="1"/>
    <w:pPr>
      <w:suppressLineNumbers w:val="1"/>
    </w:p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Calibri" w:cs="Calibri" w:eastAsia="Calibri" w:hAnsi="Calibri"/>
      <w:b w:val="0"/>
      <w:i w:val="1"/>
      <w:smallCaps w:val="0"/>
      <w:strike w:val="0"/>
      <w:color w:val="4f81bd"/>
      <w:sz w:val="24"/>
      <w:szCs w:val="24"/>
      <w:u w:val="none"/>
      <w:shd w:fill="auto" w:val="clear"/>
      <w:vertAlign w:val="baseline"/>
    </w:rPr>
  </w:style>
  <w:style w:type="table" w:styleId="Table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20" Type="http://schemas.openxmlformats.org/officeDocument/2006/relationships/font" Target="fonts/HelveticaNeueLight-bold.ttf"/><Relationship Id="rId11" Type="http://schemas.openxmlformats.org/officeDocument/2006/relationships/font" Target="fonts/MontserratLight-italic.ttf"/><Relationship Id="rId22" Type="http://schemas.openxmlformats.org/officeDocument/2006/relationships/font" Target="fonts/HelveticaNeueLight-boldItalic.ttf"/><Relationship Id="rId10" Type="http://schemas.openxmlformats.org/officeDocument/2006/relationships/font" Target="fonts/MontserratLight-bold.ttf"/><Relationship Id="rId21" Type="http://schemas.openxmlformats.org/officeDocument/2006/relationships/font" Target="fonts/HelveticaNeueLight-italic.ttf"/><Relationship Id="rId13" Type="http://schemas.openxmlformats.org/officeDocument/2006/relationships/font" Target="fonts/HelveticaNeue-regular.ttf"/><Relationship Id="rId12" Type="http://schemas.openxmlformats.org/officeDocument/2006/relationships/font" Target="fonts/MontserratLight-boldItalic.ttf"/><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9" Type="http://schemas.openxmlformats.org/officeDocument/2006/relationships/font" Target="fonts/MontserratLight-regular.ttf"/><Relationship Id="rId15" Type="http://schemas.openxmlformats.org/officeDocument/2006/relationships/font" Target="fonts/HelveticaNeue-italic.ttf"/><Relationship Id="rId14" Type="http://schemas.openxmlformats.org/officeDocument/2006/relationships/font" Target="fonts/HelveticaNeue-bold.ttf"/><Relationship Id="rId17" Type="http://schemas.openxmlformats.org/officeDocument/2006/relationships/font" Target="fonts/NotoSansSymbols-regular.ttf"/><Relationship Id="rId16" Type="http://schemas.openxmlformats.org/officeDocument/2006/relationships/font" Target="fonts/HelveticaNeue-boldItalic.ttf"/><Relationship Id="rId5" Type="http://schemas.openxmlformats.org/officeDocument/2006/relationships/font" Target="fonts/PoppinsLight-regular.ttf"/><Relationship Id="rId19" Type="http://schemas.openxmlformats.org/officeDocument/2006/relationships/font" Target="fonts/HelveticaNeueLight-regular.ttf"/><Relationship Id="rId6" Type="http://schemas.openxmlformats.org/officeDocument/2006/relationships/font" Target="fonts/PoppinsLight-bold.ttf"/><Relationship Id="rId18" Type="http://schemas.openxmlformats.org/officeDocument/2006/relationships/font" Target="fonts/NotoSansSymbols-bold.ttf"/><Relationship Id="rId7" Type="http://schemas.openxmlformats.org/officeDocument/2006/relationships/font" Target="fonts/PoppinsLight-italic.ttf"/><Relationship Id="rId8" Type="http://schemas.openxmlformats.org/officeDocument/2006/relationships/font" Target="fonts/PoppinsLigh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uSK5MrHGgzsWSFlEw/Jnh/HGfzQ==">AMUW2mWXh2Nkj4NMcKD+M1zfwHmntbZ6/BLnl7rjMtUvjAE/7oN+ZpEIva1uiaJHkVsyWVaTQIQJOtBcwmwrmh94/YNoUjRsrpa9ATERsoWndUFdlWbjE0BOo4g6zKZSCl5UfKJIZw1G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2021-02-25T06:37:00Z</dcterms:created>
  <dc:creator>Robert Morrison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Montessori Australia Foundation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