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68475"/>
          <w:sz w:val="8"/>
          <w:szCs w:val="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19058</wp:posOffset>
            </wp:positionH>
            <wp:positionV relativeFrom="paragraph">
              <wp:posOffset>114300</wp:posOffset>
            </wp:positionV>
            <wp:extent cx="2266950" cy="66675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6950" cy="6667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68475"/>
          <w:sz w:val="8"/>
          <w:szCs w:val="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68475"/>
          <w:sz w:val="48"/>
          <w:szCs w:val="48"/>
          <w:u w:val="none"/>
          <w:shd w:fill="auto" w:val="clear"/>
          <w:vertAlign w:val="baseline"/>
          <w:rtl w:val="0"/>
        </w:rPr>
        <w:t xml:space="preserve">MCF </w:t>
      </w:r>
      <w:r w:rsidDel="00000000" w:rsidR="00000000" w:rsidRPr="00000000">
        <w:rPr>
          <w:b w:val="1"/>
          <w:color w:val="868475"/>
          <w:sz w:val="48"/>
          <w:szCs w:val="48"/>
          <w:rtl w:val="0"/>
        </w:rPr>
        <w:t xml:space="preserve">FUNDRAISING PLAN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-180974</wp:posOffset>
            </wp:positionH>
            <wp:positionV relativeFrom="paragraph">
              <wp:posOffset>93250</wp:posOffset>
            </wp:positionV>
            <wp:extent cx="6502400" cy="2286000"/>
            <wp:effectExtent b="0" l="0" r="0" t="0"/>
            <wp:wrapNone/>
            <wp:docPr descr="A child smiling at the camera&#10;&#10;Description automatically generated with medium confidence" id="3" name="image4.jpg"/>
            <a:graphic>
              <a:graphicData uri="http://schemas.openxmlformats.org/drawingml/2006/picture">
                <pic:pic>
                  <pic:nvPicPr>
                    <pic:cNvPr descr="A child smiling at the camera&#10;&#10;Description automatically generated with medium confidence" id="0" name="image4.jpg"/>
                    <pic:cNvPicPr preferRelativeResize="0"/>
                  </pic:nvPicPr>
                  <pic:blipFill>
                    <a:blip r:embed="rId7"/>
                    <a:srcRect b="57470" l="3221" r="-3221" t="7373"/>
                    <a:stretch>
                      <a:fillRect/>
                    </a:stretch>
                  </pic:blipFill>
                  <pic:spPr>
                    <a:xfrm>
                      <a:off x="0" y="0"/>
                      <a:ext cx="6502400" cy="2286000"/>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5080000</wp:posOffset>
                </wp:positionH>
                <wp:positionV relativeFrom="paragraph">
                  <wp:posOffset>203200</wp:posOffset>
                </wp:positionV>
                <wp:extent cx="5981700" cy="3505200"/>
                <wp:effectExtent b="0" l="0" r="0" t="0"/>
                <wp:wrapNone/>
                <wp:docPr id="1" name=""/>
                <a:graphic>
                  <a:graphicData uri="http://schemas.microsoft.com/office/word/2010/wordprocessingShape">
                    <wps:wsp>
                      <wps:cNvSpPr/>
                      <wps:cNvPr id="2" name="Shape 2"/>
                      <wps:spPr>
                        <a:xfrm>
                          <a:off x="2238925" y="1970388"/>
                          <a:ext cx="6214150" cy="361922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5080000</wp:posOffset>
                </wp:positionH>
                <wp:positionV relativeFrom="paragraph">
                  <wp:posOffset>203200</wp:posOffset>
                </wp:positionV>
                <wp:extent cx="5981700" cy="35052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81700" cy="350520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rPr>
          <w:color w:val="ffffff"/>
        </w:rPr>
      </w:pPr>
      <w:bookmarkStart w:colFirst="0" w:colLast="0" w:name="_gjdgxs" w:id="0"/>
      <w:bookmarkEnd w:id="0"/>
      <w:r w:rsidDel="00000000" w:rsidR="00000000" w:rsidRPr="00000000">
        <w:rPr>
          <w:color w:val="ffffff"/>
          <w:rtl w:val="0"/>
        </w:rPr>
        <w:t xml:space="preserve">OVERVIEW</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-203199</wp:posOffset>
                </wp:positionH>
                <wp:positionV relativeFrom="paragraph">
                  <wp:posOffset>114300</wp:posOffset>
                </wp:positionV>
                <wp:extent cx="6543675" cy="2574880"/>
                <wp:effectExtent b="0" l="0" r="0" t="0"/>
                <wp:wrapNone/>
                <wp:docPr id="2" name=""/>
                <a:graphic>
                  <a:graphicData uri="http://schemas.microsoft.com/office/word/2010/wordprocessingShape">
                    <wps:wsp>
                      <wps:cNvSpPr/>
                      <wps:cNvPr id="3" name="Shape 3"/>
                      <wps:spPr>
                        <a:xfrm>
                          <a:off x="1258500" y="1346100"/>
                          <a:ext cx="8175000" cy="4867800"/>
                        </a:xfrm>
                        <a:prstGeom prst="snip1Rect">
                          <a:avLst>
                            <a:gd fmla="val 16667" name="adj"/>
                          </a:avLst>
                        </a:prstGeom>
                        <a:solidFill>
                          <a:srgbClr val="001C3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-203199</wp:posOffset>
                </wp:positionH>
                <wp:positionV relativeFrom="paragraph">
                  <wp:posOffset>114300</wp:posOffset>
                </wp:positionV>
                <wp:extent cx="6543675" cy="257488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43675" cy="257488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ffff"/>
        </w:rPr>
      </w:pPr>
      <w:r w:rsidDel="00000000" w:rsidR="00000000" w:rsidRPr="00000000">
        <w:rPr>
          <w:color w:val="ffffff"/>
          <w:rtl w:val="0"/>
        </w:rPr>
        <w:t xml:space="preserve">                                                                                                                                                                                                                                                                                                                                                                                                                                                                                                                                                                                                                                                                                                                                                                                                                                                                                                                                                                                                                                                                                                                                                                                                                                                                                                                                                                                                                                                                                                                                                                                                                                                                                                                                                                                                                                              After losing our fundraising chair the fundraising committee has been largely dormant and will remain so until such time as data is available to show the efficacy of our RHK program.  The first round of data that will be obtained at the end of this term would not be of a standard to prove anything in Academic circles but is more than enough to demonstrate the program has potential and is worthy of funding to gather data on its performance and deploy to communities in urgent need of support.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ffff"/>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ffff"/>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ffff"/>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ffff"/>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There are a number of grants that we may be eligible for now that we have a program and can train people to be deployed to deliver our RHK program.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The fundraising milestones for 2023 are: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EOY 2022 - 2022 Annual Report including data from the program being run presently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March 2023 - </w:t>
      </w:r>
      <w:hyperlink r:id="rId10">
        <w:r w:rsidDel="00000000" w:rsidR="00000000" w:rsidRPr="00000000">
          <w:rPr>
            <w:color w:val="1155cc"/>
            <w:u w:val="single"/>
            <w:rtl w:val="0"/>
          </w:rPr>
          <w:t xml:space="preserve">Local Thriving Communities Grants</w:t>
        </w:r>
      </w:hyperlink>
      <w:r w:rsidDel="00000000" w:rsidR="00000000" w:rsidRPr="00000000">
        <w:rPr>
          <w:rtl w:val="0"/>
        </w:rPr>
        <w:t xml:space="preserve"> Application (NO funding for 2023)</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April 2023 - Term 1 2023 RHK Report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April 2023 - Promotional Video for RHK</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April 2023 - </w:t>
      </w:r>
      <w:hyperlink r:id="rId11">
        <w:r w:rsidDel="00000000" w:rsidR="00000000" w:rsidRPr="00000000">
          <w:rPr>
            <w:color w:val="1155cc"/>
            <w:u w:val="single"/>
            <w:rtl w:val="0"/>
          </w:rPr>
          <w:t xml:space="preserve">Aboriginal and Torres Strait Islander Positive Family Relationships Grant</w:t>
        </w:r>
      </w:hyperlink>
      <w:r w:rsidDel="00000000" w:rsidR="00000000" w:rsidRPr="00000000">
        <w:rPr>
          <w:rtl w:val="0"/>
        </w:rPr>
        <w:t xml:space="preserve"> (Closed - max funding $20K) Application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June/July 2023 - Art Auction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August 2023 - Start recruiting for a fundraising chair or fundraising contractor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Grant writing services will be outsourced (</w:t>
      </w:r>
      <w:hyperlink r:id="rId12">
        <w:r w:rsidDel="00000000" w:rsidR="00000000" w:rsidRPr="00000000">
          <w:rPr>
            <w:color w:val="1155cc"/>
            <w:u w:val="single"/>
            <w:rtl w:val="0"/>
          </w:rPr>
          <w:t xml:space="preserve">example here</w:t>
        </w:r>
      </w:hyperlink>
      <w:r w:rsidDel="00000000" w:rsidR="00000000" w:rsidRPr="00000000">
        <w:rPr>
          <w:rtl w:val="0"/>
        </w:rPr>
        <w:t xml:space="preserve">) until a long term solution is established with the recruiting of a fundraising chair or contractor in August (onboarding by September/October)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Resources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hyperlink r:id="rId13">
        <w:r w:rsidDel="00000000" w:rsidR="00000000" w:rsidRPr="00000000">
          <w:rPr>
            <w:color w:val="1155cc"/>
            <w:u w:val="single"/>
            <w:rtl w:val="0"/>
          </w:rPr>
          <w:t xml:space="preserve">https://snowballfundraising.com/donor-outreach-engagement/</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hyperlink r:id="rId14">
        <w:r w:rsidDel="00000000" w:rsidR="00000000" w:rsidRPr="00000000">
          <w:rPr>
            <w:color w:val="1155cc"/>
            <w:u w:val="single"/>
            <w:rtl w:val="0"/>
          </w:rPr>
          <w:t xml:space="preserve">https://www.thegrantshub.com.au/</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sectPr>
      <w:headerReference r:id="rId15" w:type="default"/>
      <w:footerReference r:id="rId16" w:type="default"/>
      <w:footerReference r:id="rId17" w:type="first"/>
      <w:pgSz w:h="15840" w:w="12240" w:orient="portrait"/>
      <w:pgMar w:bottom="850.3937007874016" w:top="850.3937007874016" w:left="1440.0000000000002" w:right="1440.0000000000002"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32768f"/>
          <v:textpath fitshape="t" string="DRAFT" style="font-family:&amp;quot;Arial&amp;quot;;font-size:1pt;"/>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142875</wp:posOffset>
          </wp:positionV>
          <wp:extent cx="1900238" cy="558893"/>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0238" cy="55889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qld.gov.au/firstnations/grants-funding/positive-family-relationships" TargetMode="External"/><Relationship Id="rId10" Type="http://schemas.openxmlformats.org/officeDocument/2006/relationships/hyperlink" Target="https://www.qld.gov.au/firstnations/grants-funding/local-thriving-communities-grants" TargetMode="External"/><Relationship Id="rId13" Type="http://schemas.openxmlformats.org/officeDocument/2006/relationships/hyperlink" Target="https://snowballfundraising.com/donor-outreach-engagement/" TargetMode="External"/><Relationship Id="rId12" Type="http://schemas.openxmlformats.org/officeDocument/2006/relationships/hyperlink" Target="https://www.bidandbusinesswriters.com.au/grant-wri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yperlink" Target="https://www.thegrantshub.com.au/"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